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DA3F5" w14:textId="77777777" w:rsidR="00E23546" w:rsidRPr="0047045D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Toc489016121"/>
      <w:r w:rsidRPr="0047045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5</w:t>
      </w:r>
    </w:p>
    <w:p w14:paraId="708DA3F6" w14:textId="14551425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do uchwały nr </w:t>
      </w:r>
      <w:r w:rsidR="00ED28ED">
        <w:rPr>
          <w:rFonts w:ascii="Times New Roman" w:eastAsia="Times New Roman" w:hAnsi="Times New Roman" w:cs="Times New Roman"/>
          <w:sz w:val="20"/>
          <w:szCs w:val="20"/>
          <w:lang w:eastAsia="pl-PL"/>
        </w:rPr>
        <w:t>145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ED28ED">
        <w:rPr>
          <w:rFonts w:ascii="Times New Roman" w:eastAsia="Times New Roman" w:hAnsi="Times New Roman" w:cs="Times New Roman"/>
          <w:sz w:val="20"/>
          <w:szCs w:val="20"/>
          <w:lang w:eastAsia="pl-PL"/>
        </w:rPr>
        <w:t>10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/2022</w:t>
      </w:r>
    </w:p>
    <w:p w14:paraId="708DA3F7" w14:textId="77777777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Komisji Egzaminacyjnej</w:t>
      </w:r>
    </w:p>
    <w:p w14:paraId="708DA3F8" w14:textId="25469745" w:rsidR="00E23546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z dnia 2</w:t>
      </w:r>
      <w:r w:rsidR="00ED28E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 </w:t>
      </w:r>
      <w:r w:rsidR="00E26BDA">
        <w:rPr>
          <w:rFonts w:ascii="Times New Roman" w:eastAsia="Times New Roman" w:hAnsi="Times New Roman" w:cs="Times New Roman"/>
          <w:sz w:val="20"/>
          <w:szCs w:val="20"/>
          <w:lang w:eastAsia="pl-PL"/>
        </w:rPr>
        <w:t>października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</w:p>
    <w:bookmarkEnd w:id="0"/>
    <w:p w14:paraId="708DA3F9" w14:textId="77777777" w:rsidR="00E23546" w:rsidRPr="0047045D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708DA3FA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67938BF" w14:textId="77777777" w:rsidR="00ED28ED" w:rsidRPr="00C23397" w:rsidRDefault="00ED28ED" w:rsidP="00ED28E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5382E54E" w14:textId="77777777" w:rsidR="00ED28ED" w:rsidRDefault="00ED28ED" w:rsidP="00ED28ED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5FA3CD15" w14:textId="77777777" w:rsidR="00ED28ED" w:rsidRPr="00860A5B" w:rsidRDefault="00ED28ED" w:rsidP="00ED28ED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29FF801D" w14:textId="77777777" w:rsidR="00ED28ED" w:rsidRDefault="00ED28ED" w:rsidP="00ED28E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1273/30/2017 Krajowej Rady Biegłych Rewidentów z dnia 5 września 2017 r. w sprawie szczegółowego zakresu tematycznego egzaminów w postępowaniu kwalifikacyjnym na biegłych rewidentów </w:t>
      </w:r>
      <w:r w:rsidRPr="00C45CA8">
        <w:rPr>
          <w:rFonts w:ascii="Times New Roman" w:hAnsi="Times New Roman" w:cs="Times New Roman"/>
          <w:bCs/>
          <w:i/>
          <w:szCs w:val="24"/>
        </w:rPr>
        <w:t>zmienionej uchwałą Nr 2336/42/2022 Krajowej Rady Biegłych Rewidentów z dnia  30 sierpnia 2022 r.</w:t>
      </w:r>
      <w:r>
        <w:rPr>
          <w:rFonts w:ascii="Times New Roman" w:hAnsi="Times New Roman" w:cs="Times New Roman"/>
          <w:bCs/>
          <w:szCs w:val="24"/>
        </w:rPr>
        <w:t xml:space="preserve"> w przedmiocie zmiany uchwały w sprawie szczegółowego zakresu tematycznego egzaminów w postępowaniu kwalifikacyjnym na biegłych rewidentów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)  </w:t>
      </w:r>
    </w:p>
    <w:p w14:paraId="49E29813" w14:textId="77777777" w:rsidR="00ED28ED" w:rsidRPr="0047045D" w:rsidRDefault="00ED28ED" w:rsidP="00ED28E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708DA3FE" w14:textId="475D0B96" w:rsidR="00E23546" w:rsidRPr="0057580B" w:rsidRDefault="0057580B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5758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R</w:t>
      </w:r>
      <w:r w:rsidR="00E6217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achunkowość finansowa</w:t>
      </w:r>
      <w:bookmarkStart w:id="1" w:name="_GoBack"/>
      <w:bookmarkEnd w:id="1"/>
    </w:p>
    <w:p w14:paraId="708DA400" w14:textId="14F0EBF1" w:rsidR="00E23546" w:rsidRPr="00BB476D" w:rsidRDefault="00ED28ED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  <w:r w:rsidR="00E23546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tbl>
      <w:tblPr>
        <w:tblStyle w:val="Tabela-Siatka118"/>
        <w:tblW w:w="15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537"/>
        <w:gridCol w:w="3118"/>
        <w:gridCol w:w="3686"/>
        <w:gridCol w:w="3685"/>
      </w:tblGrid>
      <w:tr w:rsidR="00E23546" w:rsidRPr="00BB476D" w14:paraId="708DA405" w14:textId="77777777" w:rsidTr="00ED28ED">
        <w:trPr>
          <w:trHeight w:val="420"/>
          <w:tblHeader/>
        </w:trPr>
        <w:tc>
          <w:tcPr>
            <w:tcW w:w="4537" w:type="dxa"/>
            <w:vMerge w:val="restart"/>
            <w:shd w:val="clear" w:color="auto" w:fill="D4A7B0"/>
            <w:vAlign w:val="center"/>
          </w:tcPr>
          <w:p w14:paraId="708DA401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0489" w:type="dxa"/>
            <w:gridSpan w:val="3"/>
            <w:shd w:val="clear" w:color="auto" w:fill="D4A7B0"/>
          </w:tcPr>
          <w:p w14:paraId="708DA402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708DA403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708DA404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708DA417" w14:textId="77777777" w:rsidTr="00ED28ED">
        <w:trPr>
          <w:trHeight w:val="668"/>
          <w:tblHeader/>
        </w:trPr>
        <w:tc>
          <w:tcPr>
            <w:tcW w:w="4537" w:type="dxa"/>
            <w:vMerge/>
            <w:shd w:val="clear" w:color="auto" w:fill="D4A7B0"/>
            <w:vAlign w:val="center"/>
          </w:tcPr>
          <w:p w14:paraId="708DA406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D4A7B0"/>
          </w:tcPr>
          <w:p w14:paraId="708DA407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08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0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08DA40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0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708DA40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708DA40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0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0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708DA41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1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708DA412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1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1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708DA41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1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708DA41C" w14:textId="77777777" w:rsidTr="00ED28ED">
        <w:trPr>
          <w:trHeight w:val="280"/>
          <w:tblHeader/>
        </w:trPr>
        <w:tc>
          <w:tcPr>
            <w:tcW w:w="4537" w:type="dxa"/>
            <w:shd w:val="clear" w:color="auto" w:fill="D4A7B0"/>
            <w:vAlign w:val="center"/>
          </w:tcPr>
          <w:p w14:paraId="708DA418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8" w:type="dxa"/>
            <w:shd w:val="clear" w:color="auto" w:fill="D4A7B0"/>
          </w:tcPr>
          <w:p w14:paraId="708DA41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708DA41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708DA41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23546" w:rsidRPr="00BB476D" w14:paraId="708DA421" w14:textId="77777777" w:rsidTr="00ED28E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537" w:type="dxa"/>
          </w:tcPr>
          <w:p w14:paraId="2698264C" w14:textId="77777777" w:rsidR="00880601" w:rsidRDefault="00965E4E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6.1.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Rachunkowość finansowa jednostek, w tym spółek publicznych – według ustawy o rachunkowości (UoR) i </w:t>
            </w:r>
          </w:p>
          <w:p w14:paraId="06C054FD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7459F76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E75C2B9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25F6FCF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9F78A99" w14:textId="76BBEC26" w:rsidR="00E23546" w:rsidRDefault="00965E4E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MSR</w:t>
            </w:r>
            <w:r w:rsidRPr="00D57E17">
              <w:rPr>
                <w:rStyle w:val="Odwoanieprzypisudolnego"/>
                <w:rFonts w:ascii="Times New Roman" w:hAnsi="Times New Roman" w:cs="Times New Roman"/>
                <w:b/>
                <w:sz w:val="18"/>
                <w:szCs w:val="18"/>
              </w:rPr>
              <w:footnoteReference w:id="3"/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(z wyłączeniem jednostek prowadzących działalność na podstawie prawa bankowego, ustawy o obrocie instrumentami finansowymi, przepisów o funduszach inwestycyjnych, ustawy o spółdzielczych kasach oszczędnościowo-kredytowych, ustawy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o instytucjach płatniczych oraz ustawy o działalności ubezpieczeniowej, ustawy o organizacji i funkcjonowaniu funduszy emerytalnych i ustawy o finansach publicznych)</w:t>
            </w:r>
          </w:p>
          <w:p w14:paraId="6EBA8D75" w14:textId="77777777" w:rsidR="00DC5C07" w:rsidRDefault="00DC5C07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F293E9A" w14:textId="0CADEABD" w:rsidR="00B22DA4" w:rsidRDefault="003313A3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6.1.1.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Wycena początkowa, bieżąca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i bilansowa poszczególnych </w:t>
            </w:r>
          </w:p>
          <w:p w14:paraId="0F8AB56E" w14:textId="07131F4B" w:rsidR="0024448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13A3" w:rsidRPr="00D57E17">
              <w:rPr>
                <w:rFonts w:ascii="Times New Roman" w:hAnsi="Times New Roman" w:cs="Times New Roman"/>
                <w:sz w:val="18"/>
                <w:szCs w:val="18"/>
              </w:rPr>
              <w:t>składników aktywów i</w:t>
            </w:r>
            <w:r w:rsidR="003313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13A3" w:rsidRPr="00D57E17">
              <w:rPr>
                <w:rFonts w:ascii="Times New Roman" w:hAnsi="Times New Roman" w:cs="Times New Roman"/>
                <w:sz w:val="18"/>
                <w:szCs w:val="18"/>
              </w:rPr>
              <w:t>pasywów</w:t>
            </w:r>
          </w:p>
          <w:p w14:paraId="610DC8F0" w14:textId="03A4306E" w:rsidR="00B22DA4" w:rsidRDefault="003C1D8B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6.1.2.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Ujęcie w księgach rachunkowych i prezentacja w </w:t>
            </w:r>
          </w:p>
          <w:p w14:paraId="0B48E803" w14:textId="77777777" w:rsidR="00B22DA4" w:rsidRDefault="00B22DA4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3C1D8B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sprawozdaniu finansowym zdarzeń związanych z </w:t>
            </w:r>
          </w:p>
          <w:p w14:paraId="4E854FC2" w14:textId="0F161F10" w:rsidR="00B22DA4" w:rsidRPr="00B22DA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3C1D8B" w:rsidRPr="00D57E17">
              <w:rPr>
                <w:rFonts w:ascii="Times New Roman" w:hAnsi="Times New Roman" w:cs="Times New Roman"/>
                <w:sz w:val="18"/>
                <w:szCs w:val="18"/>
              </w:rPr>
              <w:t>działalnością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operacyjną, inwestycyjną i finansową</w:t>
            </w:r>
          </w:p>
          <w:p w14:paraId="7ABF3DBC" w14:textId="4CE29792" w:rsidR="00B22DA4" w:rsidRDefault="0097695A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6.1.3.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Ujęcie w księgach rachunkowych i prezentacja w </w:t>
            </w:r>
          </w:p>
          <w:p w14:paraId="4C629274" w14:textId="77777777" w:rsidR="00B22DA4" w:rsidRDefault="00B22DA4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97695A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sprawozdaniu finansowym różnic pomiędzy wyceną bieżącą i </w:t>
            </w:r>
          </w:p>
          <w:p w14:paraId="3A750262" w14:textId="756CB235" w:rsidR="0024448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97695A" w:rsidRPr="00D57E17">
              <w:rPr>
                <w:rFonts w:ascii="Times New Roman" w:hAnsi="Times New Roman" w:cs="Times New Roman"/>
                <w:sz w:val="18"/>
                <w:szCs w:val="18"/>
              </w:rPr>
              <w:t>wyceną bilansową aktywów i pasywów</w:t>
            </w:r>
          </w:p>
          <w:p w14:paraId="556A8C7F" w14:textId="77777777" w:rsidR="00181271" w:rsidRDefault="00714B21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6.1.4.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Księgowe ujęcie i prezentacja w sprawozdaniu finansowym </w:t>
            </w:r>
          </w:p>
          <w:p w14:paraId="51C16CBB" w14:textId="2EDC13BA" w:rsidR="00244484" w:rsidRDefault="0018127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714B21" w:rsidRPr="00D57E17">
              <w:rPr>
                <w:rFonts w:ascii="Times New Roman" w:hAnsi="Times New Roman" w:cs="Times New Roman"/>
                <w:sz w:val="18"/>
                <w:szCs w:val="18"/>
              </w:rPr>
              <w:t>procesu sprzedaży produktów i towarów</w:t>
            </w:r>
          </w:p>
          <w:p w14:paraId="74F93BC8" w14:textId="77777777" w:rsidR="00181271" w:rsidRDefault="006D771E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>6.1.5.</w:t>
            </w:r>
            <w:r w:rsidR="00181271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>Wycena, ujęcie w księgach rachunkowych i prezentacja w</w:t>
            </w:r>
          </w:p>
          <w:p w14:paraId="1AE5760B" w14:textId="1F1BE12A" w:rsidR="00244484" w:rsidRDefault="0018127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6D771E"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sprawozdaniu finansowym pozostałej działalności operacyjnej</w:t>
            </w:r>
          </w:p>
          <w:p w14:paraId="118EAACF" w14:textId="77777777" w:rsidR="00181271" w:rsidRDefault="00596BEF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Wycena, księgowe ujęcie i prezentacja w sprawozdaniu </w:t>
            </w:r>
          </w:p>
          <w:p w14:paraId="259897AB" w14:textId="546D4EAE" w:rsidR="00244484" w:rsidRDefault="00181271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596BEF">
              <w:rPr>
                <w:rFonts w:ascii="Times New Roman" w:hAnsi="Times New Roman" w:cs="Times New Roman"/>
                <w:sz w:val="18"/>
                <w:szCs w:val="18"/>
              </w:rPr>
              <w:t>finansowym operacji finansowych</w:t>
            </w:r>
          </w:p>
          <w:p w14:paraId="114605CE" w14:textId="6E7B5360" w:rsidR="00666B16" w:rsidRPr="00666B16" w:rsidRDefault="00614563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14563">
              <w:rPr>
                <w:rFonts w:ascii="Times New Roman" w:eastAsia="Calibri" w:hAnsi="Times New Roman" w:cs="Times New Roman"/>
                <w:sz w:val="18"/>
                <w:szCs w:val="18"/>
              </w:rPr>
              <w:t>6.1.7.</w:t>
            </w:r>
            <w:r w:rsidR="00181271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614563">
              <w:rPr>
                <w:rFonts w:ascii="Times New Roman" w:eastAsia="Calibri" w:hAnsi="Times New Roman" w:cs="Times New Roman"/>
                <w:sz w:val="18"/>
                <w:szCs w:val="18"/>
              </w:rPr>
              <w:t>Ustalanie wyniku finansowego i jego rozliczani</w:t>
            </w:r>
            <w:r w:rsidR="008265BD">
              <w:rPr>
                <w:rFonts w:ascii="Times New Roman" w:eastAsia="Calibri" w:hAnsi="Times New Roman" w:cs="Times New Roman"/>
                <w:sz w:val="18"/>
                <w:szCs w:val="18"/>
              </w:rPr>
              <w:t>e</w:t>
            </w:r>
          </w:p>
          <w:p w14:paraId="1536CB2B" w14:textId="578D4A60" w:rsidR="00443EC5" w:rsidRDefault="00666B16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6.1.8.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Zasady wyceny, ujmowania i prezentacji w </w:t>
            </w:r>
            <w:r w:rsidR="00443EC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prawozdaniu</w:t>
            </w:r>
          </w:p>
          <w:p w14:paraId="4F0B2B00" w14:textId="74D964B3" w:rsidR="00443EC5" w:rsidRDefault="00443EC5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finansowym wybranych zagadnień, w 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szczególności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takich</w:t>
            </w:r>
          </w:p>
          <w:p w14:paraId="465971EC" w14:textId="3CBEA475" w:rsidR="00666B16" w:rsidRPr="00D57E17" w:rsidRDefault="00443EC5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jak: </w:t>
            </w:r>
          </w:p>
          <w:p w14:paraId="70744C83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umowy długoterminowe, </w:t>
            </w:r>
          </w:p>
          <w:p w14:paraId="38A83F5E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leasing,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14:paraId="2993C3B4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utrata wartości aktywów, </w:t>
            </w:r>
          </w:p>
          <w:p w14:paraId="24C79FF7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odroczony podatek dochodowy,</w:t>
            </w:r>
          </w:p>
          <w:p w14:paraId="449D192D" w14:textId="12211DC3" w:rsidR="00666B16" w:rsidRPr="008265BD" w:rsidRDefault="00666B16" w:rsidP="008265BD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dotacje rządowe, </w:t>
            </w:r>
          </w:p>
          <w:p w14:paraId="5DA0C450" w14:textId="668FA5AB" w:rsidR="00666B16" w:rsidRPr="00D57E17" w:rsidRDefault="00666B16" w:rsidP="008265BD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instrumenty finansowe, </w:t>
            </w:r>
          </w:p>
          <w:p w14:paraId="7B981371" w14:textId="2E2DD0E4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zmiany zasad rachunkowości </w:t>
            </w:r>
          </w:p>
          <w:p w14:paraId="142EC2DA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zdarzenia po dacie bilansu,</w:t>
            </w:r>
          </w:p>
          <w:p w14:paraId="60F5CEC7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błąd lat ubiegłych.</w:t>
            </w:r>
          </w:p>
          <w:p w14:paraId="7C541FE0" w14:textId="77777777" w:rsidR="00C6321F" w:rsidRDefault="00666B16" w:rsidP="0066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6.1.9.Szczególne wymagania wobec rachunkowości spółek </w:t>
            </w:r>
          </w:p>
          <w:p w14:paraId="669E803A" w14:textId="78696CB5" w:rsidR="00596BEF" w:rsidRDefault="00C6321F" w:rsidP="0066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>publicznych.</w:t>
            </w:r>
          </w:p>
          <w:p w14:paraId="66BA520E" w14:textId="10478F7C" w:rsidR="000E6F52" w:rsidRDefault="00076527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76527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6.2. Zmiana podstawy prawnej sporządzania sprawozdań finansowych</w:t>
            </w:r>
          </w:p>
          <w:p w14:paraId="045B3639" w14:textId="77777777" w:rsidR="00F249F9" w:rsidRDefault="00F249F9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3A905F71" w14:textId="4FAA3842" w:rsidR="00952B01" w:rsidRDefault="00952B01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52B0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6.3. Rachunkowość finansowa jednostek prowadzących działalność na podstawie prawa bankowego, ustawy o obrocie instrumentami finansowymi, przepisów o funduszach inwestycyjnych, ustawy o spółdzielczych kasach oszczędnościowo-kredytowych oraz ustawy o instytucjach płatniczych – według ustawy o rachunkowości (UoR) i MSR.</w:t>
            </w:r>
          </w:p>
          <w:p w14:paraId="25470B13" w14:textId="77777777" w:rsidR="00F249F9" w:rsidRDefault="00F249F9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21BD9453" w14:textId="2F87360E" w:rsidR="00842B05" w:rsidRPr="00842B05" w:rsidRDefault="00842B05" w:rsidP="00842B05">
            <w:pPr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.3.1.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 xml:space="preserve">Wycena początkowa, bieżąca i bilansowa poszczególnych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składników aktywów i pasywów.</w:t>
            </w:r>
          </w:p>
          <w:p w14:paraId="2C6E7FDE" w14:textId="77777777" w:rsidR="003F69E5" w:rsidRDefault="00842B0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6.3.2.</w:t>
            </w:r>
            <w:r w:rsidR="00C6321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Ujęcie w księgach rachunkowych zdarzeń gospodarczych </w:t>
            </w:r>
          </w:p>
          <w:p w14:paraId="44FFD768" w14:textId="3180AEBF" w:rsidR="003F69E5" w:rsidRDefault="003F69E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EC30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związanych z działalnością operacyjną oraz inwestycyjną i </w:t>
            </w:r>
          </w:p>
          <w:p w14:paraId="01B61177" w14:textId="30BC9CDF" w:rsidR="00EC30FE" w:rsidRDefault="003F69E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EC30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finansową scharakteryzowanych w punkcie 6.1.2. a ponadto </w:t>
            </w:r>
          </w:p>
          <w:p w14:paraId="3C9B484B" w14:textId="4EDAD56D" w:rsidR="00EC30FE" w:rsidRDefault="00EC30FE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operacji specyficznych dla działalności bankowej, </w:t>
            </w:r>
          </w:p>
          <w:p w14:paraId="2197F342" w14:textId="3C3A9C33" w:rsidR="00EC30FE" w:rsidRDefault="00EC30FE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maklerskiej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inwestycyjnej, spółdzielczych kas </w:t>
            </w:r>
          </w:p>
          <w:p w14:paraId="2827918C" w14:textId="4387EE68" w:rsidR="00EC30FE" w:rsidRPr="00EC30FE" w:rsidRDefault="00EC30FE" w:rsidP="00842B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oszczędnościowo-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kredytowych i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instytucji płatniczych</w:t>
            </w:r>
          </w:p>
          <w:p w14:paraId="1D6608C9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6.3.3. Specyfika inwentaryzacji w bankach, domach maklerskich, funduszach inwestycyjnych, 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spółdzielczych kasach oszczędnościowo-kredytowych i instytucjach płatniczych,</w:t>
            </w:r>
          </w:p>
          <w:p w14:paraId="6E6BB88B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6.3.4.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Ujęcie w księgach rachunkowych różnic pomiędzy wyceną początkową, bieżącą i bilansową.</w:t>
            </w:r>
          </w:p>
          <w:p w14:paraId="3593AF2C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6.3.5. Wycena i księgowe ujęcie operacji pochodnymi instrumentami finansowymi oraz stosowanie rachunkowości zabezpieczeń.</w:t>
            </w:r>
          </w:p>
          <w:p w14:paraId="7DB3FC6E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6.3.6.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Ustalanie wyniku finansowego i jego rozliczanie.</w:t>
            </w:r>
          </w:p>
          <w:p w14:paraId="1DEA4761" w14:textId="77777777" w:rsidR="00EC30FE" w:rsidRDefault="00C749EE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6.3.7. Szczegółowe zasady rachunkowości dla firm inwestycyjnych i</w:t>
            </w:r>
          </w:p>
          <w:p w14:paraId="3C4BD47D" w14:textId="39D14ECB" w:rsidR="00596BEF" w:rsidRDefault="00EC30FE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="007851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C749EE"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instytucji płatniczych</w:t>
            </w:r>
          </w:p>
          <w:p w14:paraId="50FED23F" w14:textId="77777777" w:rsidR="0078513D" w:rsidRDefault="0078513D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3B84990" w14:textId="3DCA57DE" w:rsidR="00596BEF" w:rsidRDefault="00976530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6.4.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Rachunkowość finansowa jednostek prowadzących działalność na podstawie ustawy o działalności ubezpieczeniowej i reasekuracyjnej oraz ustawy o organizacji i funkcjonowaniu funduszy emerytalnych – według ustawy o rachunkowości i MSR.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</w:t>
            </w:r>
          </w:p>
          <w:p w14:paraId="3D165D8B" w14:textId="77777777" w:rsidR="000F44D8" w:rsidRPr="000F44D8" w:rsidRDefault="000F44D8" w:rsidP="000F44D8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6.4.1.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Wycena początkowa i bilansowa poszczególnych składników aktywów i pasywów.</w:t>
            </w:r>
          </w:p>
          <w:p w14:paraId="32AB3BB3" w14:textId="72534A0B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6.4.2.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Ujęcie w księgach rachunkowych zdarzeń gospodarczych </w:t>
            </w:r>
          </w:p>
          <w:p w14:paraId="41659FB8" w14:textId="004C8009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związanych z działalnością operacyjną, inwestycyjną i </w:t>
            </w:r>
          </w:p>
          <w:p w14:paraId="3AFD5652" w14:textId="11D88C73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finansową scharakteryzowanych w punkcie 6.1.2., a ponadto </w:t>
            </w:r>
          </w:p>
          <w:p w14:paraId="0243A69A" w14:textId="3B90CD94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operacji specyficznych dla działalności ubezpieczeniowej</w:t>
            </w:r>
          </w:p>
          <w:p w14:paraId="5B4BF2DD" w14:textId="47C021BD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.4.3.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Ujęcie w księgach rachunkowych różnic pomiędzy wyceną początkową, bieżącą i bilansową.</w:t>
            </w:r>
          </w:p>
          <w:p w14:paraId="0BB0EA38" w14:textId="77777777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6.4.4.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Księgowe ujęcie pozostałych kosztów i przychodów technicznych i oraz pozostałych kosztów i przychodów operacyjnych.</w:t>
            </w:r>
          </w:p>
          <w:p w14:paraId="1D162955" w14:textId="77777777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6.4.5.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Ustalanie wyniku technicznego i finansowego.</w:t>
            </w:r>
          </w:p>
          <w:p w14:paraId="2AA4C989" w14:textId="77777777" w:rsidR="00B0630B" w:rsidRDefault="00B0630B" w:rsidP="00B0630B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6.4.6.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Specyficzne zagadnienia rachunkowości funduszy </w:t>
            </w:r>
          </w:p>
          <w:p w14:paraId="6D7C7972" w14:textId="153B5886" w:rsidR="00B0630B" w:rsidRDefault="00B0630B" w:rsidP="00B0630B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emerytalnych.</w:t>
            </w:r>
          </w:p>
          <w:p w14:paraId="2185079A" w14:textId="7ACF75B3" w:rsidR="00596BEF" w:rsidRDefault="0031249B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6.5. Rachunkowość jednostek sektora finansów publicznych</w:t>
            </w:r>
          </w:p>
          <w:p w14:paraId="53664CEF" w14:textId="77777777" w:rsidR="009A3A4E" w:rsidRPr="009A3A4E" w:rsidRDefault="009A3A4E" w:rsidP="009A3A4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6.5.1. Rachunkowość jednostek sektora finansów publicznych posiadających osobowość prawną. </w:t>
            </w:r>
          </w:p>
          <w:p w14:paraId="546C4D97" w14:textId="77777777" w:rsidR="009A3A4E" w:rsidRDefault="009A3A4E" w:rsidP="009A3A4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6.5.2. Rachunkowość budżetowa, w tym jednostek samorządu </w:t>
            </w:r>
          </w:p>
          <w:p w14:paraId="0C6E0F6B" w14:textId="5B416A16" w:rsidR="00596BEF" w:rsidRDefault="009A3A4E" w:rsidP="009A3A4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</w:t>
            </w: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>terytorialnego.</w:t>
            </w:r>
          </w:p>
          <w:p w14:paraId="43BE6632" w14:textId="77777777" w:rsidR="009A3A4E" w:rsidRDefault="009A3A4E" w:rsidP="009A3A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3C54FB" w14:textId="68127851" w:rsidR="00596BEF" w:rsidRDefault="00094AE2" w:rsidP="005929A5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6. </w:t>
            </w:r>
            <w:r w:rsidRPr="00094A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 Rachunkowość jednostek w szczególnych sytuacjach - według ustawy o rachunkowości (UoR) i MSR</w:t>
            </w:r>
          </w:p>
          <w:p w14:paraId="2C5BE45C" w14:textId="36935762" w:rsidR="00D87899" w:rsidRPr="00D87899" w:rsidRDefault="00E92203" w:rsidP="00D87899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="00D87899"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.6.1. Rachunkowość jednostek w szczególnych sytuacjach (według ustawy o rachunkowości i MSR), w tym: </w:t>
            </w:r>
          </w:p>
          <w:p w14:paraId="5C547829" w14:textId="77777777" w:rsidR="00D87899" w:rsidRP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zakładanie i przekształcanie jednostek gospodarczych,</w:t>
            </w:r>
          </w:p>
          <w:p w14:paraId="2F929576" w14:textId="77777777" w:rsid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łączenie, podział i przejęcia spółek,</w:t>
            </w:r>
          </w:p>
          <w:p w14:paraId="7AFBE3B7" w14:textId="257C9E2B" w:rsidR="00D87899" w:rsidRP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postępowanie restrukturyzacyjne, likwidacja, upadłość jednostek gospodarczych</w:t>
            </w:r>
          </w:p>
          <w:p w14:paraId="51C4CC07" w14:textId="77777777" w:rsidR="00596BEF" w:rsidRDefault="00596BEF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6C66C9" w14:textId="77777777" w:rsidR="00596BEF" w:rsidRDefault="00596BEF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F99DF02" w14:textId="77777777" w:rsidR="00244484" w:rsidRDefault="0024448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08DA41D" w14:textId="69FF3B7B" w:rsidR="00244484" w:rsidRPr="00BB476D" w:rsidRDefault="00244484" w:rsidP="005929A5"/>
        </w:tc>
        <w:tc>
          <w:tcPr>
            <w:tcW w:w="3118" w:type="dxa"/>
          </w:tcPr>
          <w:p w14:paraId="708DA41E" w14:textId="77777777" w:rsidR="00E23546" w:rsidRPr="00BB476D" w:rsidRDefault="00E23546" w:rsidP="005929A5"/>
        </w:tc>
        <w:tc>
          <w:tcPr>
            <w:tcW w:w="3686" w:type="dxa"/>
          </w:tcPr>
          <w:p w14:paraId="708DA41F" w14:textId="77777777" w:rsidR="00E23546" w:rsidRPr="00BB476D" w:rsidRDefault="00E23546" w:rsidP="005929A5"/>
        </w:tc>
        <w:tc>
          <w:tcPr>
            <w:tcW w:w="3685" w:type="dxa"/>
          </w:tcPr>
          <w:p w14:paraId="708DA420" w14:textId="77777777" w:rsidR="00E23546" w:rsidRPr="00BB476D" w:rsidRDefault="00E23546" w:rsidP="005929A5"/>
        </w:tc>
      </w:tr>
    </w:tbl>
    <w:p w14:paraId="708DA422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8DA425" w14:textId="77777777" w:rsidR="004D1EF7" w:rsidRDefault="004D1EF7" w:rsidP="00E23546">
      <w:pPr>
        <w:spacing w:after="0" w:line="240" w:lineRule="auto"/>
      </w:pPr>
      <w:r>
        <w:separator/>
      </w:r>
    </w:p>
  </w:endnote>
  <w:endnote w:type="continuationSeparator" w:id="0">
    <w:p w14:paraId="708DA426" w14:textId="77777777" w:rsidR="004D1EF7" w:rsidRDefault="004D1EF7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00426"/>
      <w:docPartObj>
        <w:docPartGallery w:val="Page Numbers (Bottom of Page)"/>
        <w:docPartUnique/>
      </w:docPartObj>
    </w:sdtPr>
    <w:sdtEndPr/>
    <w:sdtContent>
      <w:p w14:paraId="708DA427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2170">
          <w:rPr>
            <w:noProof/>
          </w:rPr>
          <w:t>2</w:t>
        </w:r>
        <w:r>
          <w:fldChar w:fldCharType="end"/>
        </w:r>
      </w:p>
    </w:sdtContent>
  </w:sdt>
  <w:p w14:paraId="708DA428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8DA423" w14:textId="77777777" w:rsidR="004D1EF7" w:rsidRDefault="004D1EF7" w:rsidP="00E23546">
      <w:pPr>
        <w:spacing w:after="0" w:line="240" w:lineRule="auto"/>
      </w:pPr>
      <w:r>
        <w:separator/>
      </w:r>
    </w:p>
  </w:footnote>
  <w:footnote w:type="continuationSeparator" w:id="0">
    <w:p w14:paraId="708DA424" w14:textId="77777777" w:rsidR="004D1EF7" w:rsidRDefault="004D1EF7" w:rsidP="00E23546">
      <w:pPr>
        <w:spacing w:after="0" w:line="240" w:lineRule="auto"/>
      </w:pPr>
      <w:r>
        <w:continuationSeparator/>
      </w:r>
    </w:p>
  </w:footnote>
  <w:footnote w:id="1">
    <w:p w14:paraId="708DA429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708DA42A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  <w:p w14:paraId="708DA42B" w14:textId="77777777" w:rsidR="00E23546" w:rsidRDefault="00E23546" w:rsidP="00E23546">
      <w:pPr>
        <w:pStyle w:val="Tekstprzypisudolnego"/>
      </w:pPr>
    </w:p>
  </w:footnote>
  <w:footnote w:id="3">
    <w:p w14:paraId="0926E483" w14:textId="77777777" w:rsidR="00965E4E" w:rsidRPr="00EA34CE" w:rsidRDefault="00965E4E" w:rsidP="00965E4E">
      <w:pPr>
        <w:pStyle w:val="Tekstprzypisudolnego"/>
        <w:rPr>
          <w:sz w:val="18"/>
          <w:szCs w:val="18"/>
        </w:rPr>
      </w:pPr>
      <w:r w:rsidRPr="00FD6C7F">
        <w:rPr>
          <w:rStyle w:val="Odwoanieprzypisudolnego"/>
        </w:rPr>
        <w:footnoteRef/>
      </w:r>
      <w:r w:rsidRPr="00FD6C7F">
        <w:t xml:space="preserve"> </w:t>
      </w:r>
      <w:r w:rsidRPr="00EA34CE">
        <w:rPr>
          <w:sz w:val="18"/>
          <w:szCs w:val="18"/>
        </w:rPr>
        <w:t>Międzynarodowe Standardy Rachunkowości (MSR) w rozumieniu ustawy z dnia 29</w:t>
      </w:r>
      <w:r>
        <w:rPr>
          <w:sz w:val="18"/>
          <w:szCs w:val="18"/>
        </w:rPr>
        <w:t xml:space="preserve"> września </w:t>
      </w:r>
      <w:r w:rsidRPr="00EA34CE">
        <w:rPr>
          <w:sz w:val="18"/>
          <w:szCs w:val="18"/>
        </w:rPr>
        <w:t xml:space="preserve">1994 r. o rachunkowości (t.j. </w:t>
      </w:r>
      <w:r>
        <w:rPr>
          <w:sz w:val="18"/>
          <w:szCs w:val="18"/>
        </w:rPr>
        <w:t>Dz.U. z 2021 r. poz.217 z późn. zm.)</w:t>
      </w:r>
      <w:r w:rsidRPr="00EA34CE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41004"/>
    <w:multiLevelType w:val="hybridMultilevel"/>
    <w:tmpl w:val="60CAC1DA"/>
    <w:lvl w:ilvl="0" w:tplc="04150017">
      <w:start w:val="1"/>
      <w:numFmt w:val="lowerLetter"/>
      <w:lvlText w:val="%1)"/>
      <w:lvlJc w:val="left"/>
      <w:pPr>
        <w:ind w:left="830" w:hanging="360"/>
      </w:pPr>
    </w:lvl>
    <w:lvl w:ilvl="1" w:tplc="04150019" w:tentative="1">
      <w:start w:val="1"/>
      <w:numFmt w:val="lowerLetter"/>
      <w:lvlText w:val="%2."/>
      <w:lvlJc w:val="left"/>
      <w:pPr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85027"/>
    <w:multiLevelType w:val="hybridMultilevel"/>
    <w:tmpl w:val="60CAC1DA"/>
    <w:lvl w:ilvl="0" w:tplc="04150017">
      <w:start w:val="1"/>
      <w:numFmt w:val="lowerLetter"/>
      <w:lvlText w:val="%1)"/>
      <w:lvlJc w:val="left"/>
      <w:pPr>
        <w:ind w:left="830" w:hanging="360"/>
      </w:pPr>
    </w:lvl>
    <w:lvl w:ilvl="1" w:tplc="04150019" w:tentative="1">
      <w:start w:val="1"/>
      <w:numFmt w:val="lowerLetter"/>
      <w:lvlText w:val="%2."/>
      <w:lvlJc w:val="left"/>
      <w:pPr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46"/>
    <w:rsid w:val="00076527"/>
    <w:rsid w:val="00094AE2"/>
    <w:rsid w:val="000C3A79"/>
    <w:rsid w:val="000E6F52"/>
    <w:rsid w:val="000F44D8"/>
    <w:rsid w:val="00181271"/>
    <w:rsid w:val="00244484"/>
    <w:rsid w:val="0031249B"/>
    <w:rsid w:val="003313A3"/>
    <w:rsid w:val="003C1D8B"/>
    <w:rsid w:val="003F69E5"/>
    <w:rsid w:val="00443EC5"/>
    <w:rsid w:val="00473D76"/>
    <w:rsid w:val="004D1EF7"/>
    <w:rsid w:val="0057580B"/>
    <w:rsid w:val="00596BEF"/>
    <w:rsid w:val="00614563"/>
    <w:rsid w:val="00666B16"/>
    <w:rsid w:val="006D771E"/>
    <w:rsid w:val="00714B21"/>
    <w:rsid w:val="00723577"/>
    <w:rsid w:val="0078513D"/>
    <w:rsid w:val="008265BD"/>
    <w:rsid w:val="00842B05"/>
    <w:rsid w:val="00880601"/>
    <w:rsid w:val="00952B01"/>
    <w:rsid w:val="00965E4E"/>
    <w:rsid w:val="00976530"/>
    <w:rsid w:val="0097695A"/>
    <w:rsid w:val="009A3A4E"/>
    <w:rsid w:val="009E153A"/>
    <w:rsid w:val="00AE566E"/>
    <w:rsid w:val="00B0630B"/>
    <w:rsid w:val="00B06ED1"/>
    <w:rsid w:val="00B22DA4"/>
    <w:rsid w:val="00C6321F"/>
    <w:rsid w:val="00C749EE"/>
    <w:rsid w:val="00CE3A89"/>
    <w:rsid w:val="00D549E3"/>
    <w:rsid w:val="00D87899"/>
    <w:rsid w:val="00DC5C07"/>
    <w:rsid w:val="00E14D7A"/>
    <w:rsid w:val="00E23546"/>
    <w:rsid w:val="00E26BDA"/>
    <w:rsid w:val="00E5717C"/>
    <w:rsid w:val="00E62170"/>
    <w:rsid w:val="00E92203"/>
    <w:rsid w:val="00E950E7"/>
    <w:rsid w:val="00EC30FE"/>
    <w:rsid w:val="00ED28ED"/>
    <w:rsid w:val="00F249F9"/>
    <w:rsid w:val="00F26BF6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A3F5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867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jlabecka</cp:lastModifiedBy>
  <cp:revision>2</cp:revision>
  <dcterms:created xsi:type="dcterms:W3CDTF">2022-10-24T13:10:00Z</dcterms:created>
  <dcterms:modified xsi:type="dcterms:W3CDTF">2022-10-24T13:10:00Z</dcterms:modified>
</cp:coreProperties>
</file>